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6463" w14:textId="481CB8BA" w:rsidR="00491078" w:rsidRPr="001573FE" w:rsidRDefault="00491078" w:rsidP="004910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34355556"/>
      <w:r w:rsidRPr="001573FE">
        <w:rPr>
          <w:rFonts w:ascii="Times New Roman" w:hAnsi="Times New Roman" w:cs="Times New Roman"/>
          <w:b/>
          <w:sz w:val="26"/>
          <w:szCs w:val="26"/>
        </w:rPr>
        <w:t>KAITLYN POIRIER</w:t>
      </w:r>
    </w:p>
    <w:p w14:paraId="5C352AB1" w14:textId="7D55C719" w:rsidR="00491078" w:rsidRPr="001573FE" w:rsidRDefault="008E7168" w:rsidP="00491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Timber Creek Drive</w:t>
      </w:r>
      <w:r w:rsidR="00491078" w:rsidRPr="0015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Herrin, IL</w:t>
      </w:r>
      <w:r w:rsidR="0049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62948</w:t>
      </w:r>
    </w:p>
    <w:p w14:paraId="2A3C49CC" w14:textId="64666449" w:rsidR="008E7168" w:rsidRDefault="008E7168" w:rsidP="00491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7168">
        <w:rPr>
          <w:rFonts w:ascii="Times New Roman" w:hAnsi="Times New Roman" w:cs="Times New Roman"/>
          <w:sz w:val="24"/>
          <w:szCs w:val="24"/>
        </w:rPr>
        <w:t>kaitlyn.poirier@siu.edu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3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5AE5">
        <w:rPr>
          <w:rFonts w:ascii="Times New Roman" w:hAnsi="Times New Roman" w:cs="Times New Roman"/>
          <w:sz w:val="24"/>
          <w:szCs w:val="24"/>
        </w:rPr>
        <w:t>618) 453-6230</w:t>
      </w:r>
    </w:p>
    <w:p w14:paraId="1CF0B3B5" w14:textId="33D49D07" w:rsidR="008E7168" w:rsidRDefault="008E7168" w:rsidP="00491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3FE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296C" wp14:editId="7B79B639">
                <wp:simplePos x="0" y="0"/>
                <wp:positionH relativeFrom="column">
                  <wp:posOffset>-779145</wp:posOffset>
                </wp:positionH>
                <wp:positionV relativeFrom="paragraph">
                  <wp:posOffset>207010</wp:posOffset>
                </wp:positionV>
                <wp:extent cx="7800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B39C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35pt,16.3pt" to="552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sWmgEAAIgDAAAOAAAAZHJzL2Uyb0RvYy54bWysU9uO0zAQfUfiHyy/06QrwS5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CBC0C9C" w14:textId="7D366136" w:rsidR="00491078" w:rsidRPr="001573FE" w:rsidRDefault="00491078" w:rsidP="0049107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  <w:r w:rsidRPr="001573FE">
        <w:rPr>
          <w:rFonts w:ascii="Times New Roman" w:hAnsi="Times New Roman" w:cs="Times New Roman"/>
          <w:b/>
          <w:sz w:val="23"/>
          <w:szCs w:val="23"/>
        </w:rPr>
        <w:softHyphen/>
      </w:r>
    </w:p>
    <w:p w14:paraId="653CABCA" w14:textId="77777777" w:rsidR="00491078" w:rsidRPr="001573FE" w:rsidRDefault="00491078" w:rsidP="0049107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bookmarkEnd w:id="0"/>
    <w:p w14:paraId="63974C88" w14:textId="77777777" w:rsidR="00491078" w:rsidRPr="002967E4" w:rsidRDefault="00491078" w:rsidP="007E691A">
      <w:pPr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14:paraId="00947DC0" w14:textId="14167045" w:rsidR="00491078" w:rsidRDefault="00B55AE5" w:rsidP="007E691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am c</w:t>
      </w:r>
      <w:r w:rsidR="008E7168">
        <w:rPr>
          <w:rFonts w:ascii="Times New Roman" w:hAnsi="Times New Roman" w:cs="Times New Roman"/>
          <w:bCs/>
          <w:sz w:val="24"/>
          <w:szCs w:val="24"/>
        </w:rPr>
        <w:t>urrently an Associate Professor of Law at Southern Illinois University Simmons School of Law, teaching legal writing, administrative law, environmental law</w:t>
      </w:r>
      <w:r w:rsidR="009838F8">
        <w:rPr>
          <w:rFonts w:ascii="Times New Roman" w:hAnsi="Times New Roman" w:cs="Times New Roman"/>
          <w:bCs/>
          <w:sz w:val="24"/>
          <w:szCs w:val="24"/>
        </w:rPr>
        <w:t>, and animal law</w:t>
      </w:r>
      <w:r w:rsidR="008E7168">
        <w:rPr>
          <w:rFonts w:ascii="Times New Roman" w:hAnsi="Times New Roman" w:cs="Times New Roman"/>
          <w:bCs/>
          <w:sz w:val="24"/>
          <w:szCs w:val="24"/>
        </w:rPr>
        <w:t xml:space="preserve">. Prior to that, I was </w:t>
      </w:r>
      <w:r>
        <w:rPr>
          <w:rFonts w:ascii="Times New Roman" w:hAnsi="Times New Roman" w:cs="Times New Roman"/>
          <w:bCs/>
          <w:sz w:val="24"/>
          <w:szCs w:val="24"/>
        </w:rPr>
        <w:t>employed</w:t>
      </w:r>
      <w:r w:rsidR="008E7168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>Trial Attorney with the United States Department of Justice</w:t>
      </w:r>
      <w:r w:rsidR="00A65F99" w:rsidRPr="002967E4">
        <w:rPr>
          <w:rFonts w:ascii="Times New Roman" w:hAnsi="Times New Roman" w:cs="Times New Roman"/>
          <w:bCs/>
          <w:sz w:val="24"/>
          <w:szCs w:val="24"/>
        </w:rPr>
        <w:t>’s Environment and Natural Resources Division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8E7168">
        <w:rPr>
          <w:rFonts w:ascii="Times New Roman" w:hAnsi="Times New Roman" w:cs="Times New Roman"/>
          <w:bCs/>
          <w:sz w:val="24"/>
          <w:szCs w:val="24"/>
        </w:rPr>
        <w:t xml:space="preserve">over </w:t>
      </w:r>
      <w:r w:rsidR="009550D8">
        <w:rPr>
          <w:rFonts w:ascii="Times New Roman" w:hAnsi="Times New Roman" w:cs="Times New Roman"/>
          <w:bCs/>
          <w:sz w:val="24"/>
          <w:szCs w:val="24"/>
        </w:rPr>
        <w:t>eight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Cs/>
          <w:sz w:val="24"/>
          <w:szCs w:val="24"/>
        </w:rPr>
        <w:t xml:space="preserve">. I represented the 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 xml:space="preserve">United States in complex </w:t>
      </w:r>
      <w:r>
        <w:rPr>
          <w:rFonts w:ascii="Times New Roman" w:hAnsi="Times New Roman" w:cs="Times New Roman"/>
          <w:bCs/>
          <w:sz w:val="24"/>
          <w:szCs w:val="24"/>
        </w:rPr>
        <w:t xml:space="preserve">environmental and administrative law cases 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526C0C">
        <w:rPr>
          <w:rFonts w:ascii="Times New Roman" w:hAnsi="Times New Roman" w:cs="Times New Roman"/>
          <w:bCs/>
          <w:sz w:val="24"/>
          <w:szCs w:val="24"/>
        </w:rPr>
        <w:t>f</w:t>
      </w:r>
      <w:r w:rsidR="000C7E88">
        <w:rPr>
          <w:rFonts w:ascii="Times New Roman" w:hAnsi="Times New Roman" w:cs="Times New Roman"/>
          <w:bCs/>
          <w:sz w:val="24"/>
          <w:szCs w:val="24"/>
        </w:rPr>
        <w:t xml:space="preserve">ederal </w:t>
      </w:r>
      <w:r w:rsidR="00491078" w:rsidRPr="002967E4">
        <w:rPr>
          <w:rFonts w:ascii="Times New Roman" w:hAnsi="Times New Roman" w:cs="Times New Roman"/>
          <w:bCs/>
          <w:sz w:val="24"/>
          <w:szCs w:val="24"/>
        </w:rPr>
        <w:t xml:space="preserve">courts across the country. </w:t>
      </w:r>
    </w:p>
    <w:p w14:paraId="51D9DD38" w14:textId="77777777" w:rsidR="00B55AE5" w:rsidRPr="002967E4" w:rsidRDefault="00B55AE5" w:rsidP="007E69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8D171" w14:textId="77777777" w:rsidR="00491078" w:rsidRPr="002967E4" w:rsidRDefault="00491078" w:rsidP="007E691A">
      <w:pPr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Law License</w:t>
      </w:r>
    </w:p>
    <w:p w14:paraId="7677B9B6" w14:textId="39EAAA28" w:rsidR="00491078" w:rsidRPr="002967E4" w:rsidRDefault="00491078" w:rsidP="007E691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E4">
        <w:rPr>
          <w:rFonts w:ascii="Times New Roman" w:hAnsi="Times New Roman" w:cs="Times New Roman"/>
          <w:bCs/>
          <w:sz w:val="24"/>
          <w:szCs w:val="24"/>
        </w:rPr>
        <w:t xml:space="preserve">Member in good standing of the Tennessee Bar. </w:t>
      </w:r>
    </w:p>
    <w:p w14:paraId="6A1C625E" w14:textId="77777777" w:rsidR="00491078" w:rsidRPr="002967E4" w:rsidRDefault="00491078" w:rsidP="007E691A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DF695AD" w14:textId="77777777" w:rsidR="00491078" w:rsidRPr="002967E4" w:rsidRDefault="00491078" w:rsidP="007E691A">
      <w:pPr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Recent Professional Experience</w:t>
      </w:r>
    </w:p>
    <w:p w14:paraId="05F66269" w14:textId="2400070D" w:rsidR="00B55AE5" w:rsidRDefault="00B55AE5" w:rsidP="007E691A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Professor of Law</w:t>
      </w:r>
    </w:p>
    <w:p w14:paraId="20FE6363" w14:textId="08C272F2" w:rsidR="00B55AE5" w:rsidRDefault="00B55AE5" w:rsidP="00B55AE5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Southern Illinois University Simmons School of Law, Carbondale, IL                       August 2024 – present </w:t>
      </w:r>
    </w:p>
    <w:p w14:paraId="3D428C8D" w14:textId="77777777" w:rsidR="00B55AE5" w:rsidRDefault="00B55AE5" w:rsidP="00B55AE5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84C8D" w14:textId="6BAD8C53" w:rsidR="00B55AE5" w:rsidRPr="00B55AE5" w:rsidRDefault="00B55AE5" w:rsidP="00B55AE5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Currently teaching Legal Writing I and Mastering Legal Education I (fall 2024). </w:t>
      </w:r>
    </w:p>
    <w:p w14:paraId="31DD801F" w14:textId="3F9E1C1B" w:rsidR="00B55AE5" w:rsidRPr="00B55AE5" w:rsidRDefault="00B55AE5" w:rsidP="00B55AE5">
      <w:pPr>
        <w:pStyle w:val="ListParagraph"/>
        <w:numPr>
          <w:ilvl w:val="0"/>
          <w:numId w:val="2"/>
        </w:numPr>
        <w:tabs>
          <w:tab w:val="right" w:pos="10800"/>
        </w:tabs>
        <w:spacing w:before="120" w:after="12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Intend to teach Legal Writing II, Administrative Law, Environmental Law</w:t>
      </w:r>
      <w:r w:rsidR="009A788D">
        <w:rPr>
          <w:rFonts w:ascii="Times New Roman" w:hAnsi="Times New Roman"/>
          <w:bCs/>
          <w:sz w:val="24"/>
          <w:szCs w:val="24"/>
        </w:rPr>
        <w:t>, and Animal Law</w:t>
      </w:r>
      <w:r>
        <w:rPr>
          <w:rFonts w:ascii="Times New Roman" w:hAnsi="Times New Roman"/>
          <w:bCs/>
          <w:sz w:val="24"/>
          <w:szCs w:val="24"/>
        </w:rPr>
        <w:t xml:space="preserve"> in future semesters.</w:t>
      </w:r>
    </w:p>
    <w:p w14:paraId="5DE2BFE6" w14:textId="77777777" w:rsidR="00B55AE5" w:rsidRDefault="00B55AE5" w:rsidP="007E691A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EC68" w14:textId="5829FD2E" w:rsidR="00491078" w:rsidRPr="002967E4" w:rsidRDefault="00491078" w:rsidP="007E691A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Trial Attorney</w:t>
      </w:r>
    </w:p>
    <w:p w14:paraId="37F23476" w14:textId="77777777" w:rsidR="00491078" w:rsidRPr="002967E4" w:rsidRDefault="00491078" w:rsidP="007E691A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E4">
        <w:rPr>
          <w:rFonts w:ascii="Times New Roman" w:hAnsi="Times New Roman" w:cs="Times New Roman"/>
          <w:bCs/>
          <w:sz w:val="24"/>
          <w:szCs w:val="24"/>
        </w:rPr>
        <w:t>United States Department of Justice, Washington, D.C.</w:t>
      </w:r>
      <w:r w:rsidRPr="002967E4">
        <w:rPr>
          <w:rFonts w:ascii="Times New Roman" w:hAnsi="Times New Roman" w:cs="Times New Roman"/>
          <w:bCs/>
          <w:sz w:val="24"/>
          <w:szCs w:val="24"/>
        </w:rPr>
        <w:tab/>
        <w:t>September 2015 – present</w:t>
      </w:r>
    </w:p>
    <w:p w14:paraId="61D3752C" w14:textId="77777777" w:rsidR="00491078" w:rsidRPr="002967E4" w:rsidRDefault="00491078" w:rsidP="007E691A">
      <w:pPr>
        <w:tabs>
          <w:tab w:val="right" w:pos="1080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2FED1" w14:textId="575FB9FB" w:rsidR="00F96C4A" w:rsidRPr="002967E4" w:rsidRDefault="00F96C4A" w:rsidP="007E691A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967E4">
        <w:rPr>
          <w:rFonts w:ascii="Times New Roman" w:hAnsi="Times New Roman"/>
          <w:bCs/>
          <w:sz w:val="24"/>
          <w:szCs w:val="24"/>
        </w:rPr>
        <w:t>Lead counsel defending the</w:t>
      </w:r>
      <w:r w:rsidR="001D73E0" w:rsidRPr="002967E4">
        <w:rPr>
          <w:rFonts w:ascii="Times New Roman" w:hAnsi="Times New Roman"/>
          <w:bCs/>
          <w:sz w:val="24"/>
          <w:szCs w:val="24"/>
        </w:rPr>
        <w:t xml:space="preserve"> United States</w:t>
      </w:r>
      <w:r w:rsidR="00525DD8" w:rsidRPr="002967E4">
        <w:rPr>
          <w:rFonts w:ascii="Times New Roman" w:hAnsi="Times New Roman"/>
          <w:bCs/>
          <w:sz w:val="24"/>
          <w:szCs w:val="24"/>
        </w:rPr>
        <w:t xml:space="preserve"> in civil cases arising</w:t>
      </w:r>
      <w:r w:rsidR="0050752E" w:rsidRPr="002967E4">
        <w:rPr>
          <w:rFonts w:ascii="Times New Roman" w:hAnsi="Times New Roman"/>
          <w:bCs/>
          <w:sz w:val="24"/>
          <w:szCs w:val="24"/>
        </w:rPr>
        <w:t xml:space="preserve"> primarily under the Endangered Species Act and Administrative Procedure Act, but also </w:t>
      </w:r>
      <w:r w:rsidR="00491078" w:rsidRPr="002967E4">
        <w:rPr>
          <w:rFonts w:ascii="Times New Roman" w:hAnsi="Times New Roman"/>
          <w:bCs/>
          <w:sz w:val="24"/>
          <w:szCs w:val="24"/>
        </w:rPr>
        <w:t xml:space="preserve">the First Amendment of the Constitution, </w:t>
      </w:r>
      <w:r w:rsidR="0050752E" w:rsidRPr="002967E4">
        <w:rPr>
          <w:rFonts w:ascii="Times New Roman" w:hAnsi="Times New Roman"/>
          <w:bCs/>
          <w:sz w:val="24"/>
          <w:szCs w:val="24"/>
        </w:rPr>
        <w:t xml:space="preserve">the </w:t>
      </w:r>
      <w:r w:rsidR="00484360">
        <w:rPr>
          <w:rFonts w:ascii="Times New Roman" w:hAnsi="Times New Roman"/>
          <w:bCs/>
          <w:sz w:val="24"/>
          <w:szCs w:val="24"/>
        </w:rPr>
        <w:t xml:space="preserve">National Trails </w:t>
      </w:r>
      <w:r w:rsidR="001D73E0" w:rsidRPr="002967E4">
        <w:rPr>
          <w:rFonts w:ascii="Times New Roman" w:hAnsi="Times New Roman"/>
          <w:bCs/>
          <w:sz w:val="24"/>
          <w:szCs w:val="24"/>
        </w:rPr>
        <w:t>System Act,</w:t>
      </w:r>
      <w:r w:rsidR="00491078" w:rsidRPr="002967E4">
        <w:rPr>
          <w:rFonts w:ascii="Times New Roman" w:hAnsi="Times New Roman"/>
          <w:bCs/>
          <w:sz w:val="24"/>
          <w:szCs w:val="24"/>
        </w:rPr>
        <w:t xml:space="preserve"> the Magnuson-Stevens Fishery Conservation and Management Act, </w:t>
      </w:r>
      <w:r w:rsidR="001D73E0" w:rsidRPr="002967E4">
        <w:rPr>
          <w:rFonts w:ascii="Times New Roman" w:hAnsi="Times New Roman"/>
          <w:bCs/>
          <w:sz w:val="24"/>
          <w:szCs w:val="24"/>
        </w:rPr>
        <w:t>the</w:t>
      </w:r>
      <w:r w:rsidR="00491078" w:rsidRPr="002967E4">
        <w:rPr>
          <w:rFonts w:ascii="Times New Roman" w:hAnsi="Times New Roman"/>
          <w:bCs/>
          <w:sz w:val="24"/>
          <w:szCs w:val="24"/>
        </w:rPr>
        <w:t xml:space="preserve"> Wild Free-Roaming Horses and Burros Act</w:t>
      </w:r>
      <w:r w:rsidR="001D73E0" w:rsidRPr="002967E4">
        <w:rPr>
          <w:rFonts w:ascii="Times New Roman" w:hAnsi="Times New Roman"/>
          <w:bCs/>
          <w:sz w:val="24"/>
          <w:szCs w:val="24"/>
        </w:rPr>
        <w:t>, the Marine Mammal Protection Act</w:t>
      </w:r>
      <w:r w:rsidR="00525DD8" w:rsidRPr="002967E4">
        <w:rPr>
          <w:rFonts w:ascii="Times New Roman" w:hAnsi="Times New Roman"/>
          <w:bCs/>
          <w:sz w:val="24"/>
          <w:szCs w:val="24"/>
        </w:rPr>
        <w:t xml:space="preserve">, </w:t>
      </w:r>
      <w:r w:rsidR="000C7E88">
        <w:rPr>
          <w:rFonts w:ascii="Times New Roman" w:hAnsi="Times New Roman"/>
          <w:bCs/>
          <w:sz w:val="24"/>
          <w:szCs w:val="24"/>
        </w:rPr>
        <w:t xml:space="preserve">the Horse Protection Act, </w:t>
      </w:r>
      <w:r w:rsidR="00526C0C">
        <w:rPr>
          <w:rFonts w:ascii="Times New Roman" w:hAnsi="Times New Roman"/>
          <w:bCs/>
          <w:sz w:val="24"/>
          <w:szCs w:val="24"/>
        </w:rPr>
        <w:t xml:space="preserve">the </w:t>
      </w:r>
      <w:r w:rsidR="000C7E88">
        <w:rPr>
          <w:rFonts w:ascii="Times New Roman" w:hAnsi="Times New Roman"/>
          <w:bCs/>
          <w:sz w:val="24"/>
          <w:szCs w:val="24"/>
        </w:rPr>
        <w:t xml:space="preserve">Animal Welfare Act, </w:t>
      </w:r>
      <w:r w:rsidR="00525DD8" w:rsidRPr="002967E4">
        <w:rPr>
          <w:rFonts w:ascii="Times New Roman" w:hAnsi="Times New Roman"/>
          <w:bCs/>
          <w:sz w:val="24"/>
          <w:szCs w:val="24"/>
        </w:rPr>
        <w:t>the National Environmental Policy Act</w:t>
      </w:r>
      <w:r w:rsidR="007137EA">
        <w:rPr>
          <w:rFonts w:ascii="Times New Roman" w:hAnsi="Times New Roman"/>
          <w:bCs/>
          <w:sz w:val="24"/>
          <w:szCs w:val="24"/>
        </w:rPr>
        <w:t>, etc</w:t>
      </w:r>
      <w:r w:rsidR="00E75C08">
        <w:rPr>
          <w:rFonts w:ascii="Times New Roman" w:hAnsi="Times New Roman"/>
          <w:bCs/>
          <w:sz w:val="24"/>
          <w:szCs w:val="24"/>
        </w:rPr>
        <w:t>.</w:t>
      </w:r>
    </w:p>
    <w:p w14:paraId="4990650F" w14:textId="33DF01CF" w:rsidR="00C4763B" w:rsidRPr="00C4763B" w:rsidRDefault="00FD37A0" w:rsidP="004B1453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Responsible</w:t>
      </w:r>
      <w:r w:rsidR="00FD7BFE" w:rsidRPr="00E75C08">
        <w:rPr>
          <w:rFonts w:ascii="Times New Roman" w:hAnsi="Times New Roman"/>
          <w:bCs/>
          <w:sz w:val="24"/>
          <w:szCs w:val="24"/>
        </w:rPr>
        <w:t xml:space="preserve"> for all aspects of a case in district court</w:t>
      </w:r>
      <w:r w:rsidR="004B1453">
        <w:rPr>
          <w:rFonts w:ascii="Times New Roman" w:hAnsi="Times New Roman"/>
          <w:bCs/>
          <w:sz w:val="24"/>
          <w:szCs w:val="24"/>
        </w:rPr>
        <w:t xml:space="preserve"> and</w:t>
      </w:r>
      <w:r w:rsidR="00FD7BFE" w:rsidRPr="00E75C08">
        <w:rPr>
          <w:rFonts w:ascii="Times New Roman" w:hAnsi="Times New Roman"/>
          <w:bCs/>
          <w:sz w:val="24"/>
          <w:szCs w:val="24"/>
        </w:rPr>
        <w:t xml:space="preserve"> cases of original jurisdiction in </w:t>
      </w:r>
      <w:r w:rsidR="00526C0C">
        <w:rPr>
          <w:rFonts w:ascii="Times New Roman" w:hAnsi="Times New Roman"/>
          <w:bCs/>
          <w:sz w:val="24"/>
          <w:szCs w:val="24"/>
        </w:rPr>
        <w:t>c</w:t>
      </w:r>
      <w:r w:rsidR="00FD7BFE" w:rsidRPr="00E75C08">
        <w:rPr>
          <w:rFonts w:ascii="Times New Roman" w:hAnsi="Times New Roman"/>
          <w:bCs/>
          <w:sz w:val="24"/>
          <w:szCs w:val="24"/>
        </w:rPr>
        <w:t xml:space="preserve">ircuit </w:t>
      </w:r>
      <w:r w:rsidR="00526C0C">
        <w:rPr>
          <w:rFonts w:ascii="Times New Roman" w:hAnsi="Times New Roman"/>
          <w:bCs/>
          <w:sz w:val="24"/>
          <w:szCs w:val="24"/>
        </w:rPr>
        <w:t>c</w:t>
      </w:r>
      <w:r w:rsidR="00FD7BFE" w:rsidRPr="00E75C08">
        <w:rPr>
          <w:rFonts w:ascii="Times New Roman" w:hAnsi="Times New Roman"/>
          <w:bCs/>
          <w:sz w:val="24"/>
          <w:szCs w:val="24"/>
        </w:rPr>
        <w:t xml:space="preserve">ourts of </w:t>
      </w:r>
      <w:r w:rsidR="00526C0C">
        <w:rPr>
          <w:rFonts w:ascii="Times New Roman" w:hAnsi="Times New Roman"/>
          <w:bCs/>
          <w:sz w:val="24"/>
          <w:szCs w:val="24"/>
        </w:rPr>
        <w:t>a</w:t>
      </w:r>
      <w:r w:rsidR="00FD7BFE" w:rsidRPr="00E75C08">
        <w:rPr>
          <w:rFonts w:ascii="Times New Roman" w:hAnsi="Times New Roman"/>
          <w:bCs/>
          <w:sz w:val="24"/>
          <w:szCs w:val="24"/>
        </w:rPr>
        <w:t xml:space="preserve">ppeals. </w:t>
      </w:r>
      <w:r w:rsidR="00E75C08" w:rsidRPr="004B1453">
        <w:rPr>
          <w:rFonts w:ascii="Times New Roman" w:hAnsi="Times New Roman"/>
          <w:bCs/>
          <w:sz w:val="24"/>
          <w:szCs w:val="24"/>
        </w:rPr>
        <w:t>Experienced in s</w:t>
      </w:r>
      <w:r w:rsidR="00FD7BFE" w:rsidRPr="004B1453">
        <w:rPr>
          <w:rFonts w:ascii="Times New Roman" w:hAnsi="Times New Roman"/>
          <w:bCs/>
          <w:sz w:val="24"/>
          <w:szCs w:val="24"/>
        </w:rPr>
        <w:t xml:space="preserve">ignificant motions practice, including defending </w:t>
      </w:r>
      <w:r w:rsidR="004B1453">
        <w:rPr>
          <w:rFonts w:ascii="Times New Roman" w:hAnsi="Times New Roman"/>
          <w:bCs/>
          <w:sz w:val="24"/>
          <w:szCs w:val="24"/>
        </w:rPr>
        <w:t xml:space="preserve">against motions for </w:t>
      </w:r>
      <w:r w:rsidR="00E75C08" w:rsidRPr="004B1453">
        <w:rPr>
          <w:rFonts w:ascii="Times New Roman" w:hAnsi="Times New Roman"/>
          <w:bCs/>
          <w:sz w:val="24"/>
          <w:szCs w:val="24"/>
        </w:rPr>
        <w:t>temporary restraining orders</w:t>
      </w:r>
      <w:r w:rsidR="00FD7BFE" w:rsidRPr="004B1453">
        <w:rPr>
          <w:rFonts w:ascii="Times New Roman" w:hAnsi="Times New Roman"/>
          <w:bCs/>
          <w:sz w:val="24"/>
          <w:szCs w:val="24"/>
        </w:rPr>
        <w:t xml:space="preserve"> and/or preliminary injunctions, drafting motions to dismiss</w:t>
      </w:r>
      <w:r w:rsidR="00554838" w:rsidRPr="004B1453">
        <w:rPr>
          <w:rFonts w:ascii="Times New Roman" w:hAnsi="Times New Roman"/>
          <w:bCs/>
          <w:sz w:val="24"/>
          <w:szCs w:val="24"/>
        </w:rPr>
        <w:t xml:space="preserve"> and </w:t>
      </w:r>
      <w:r w:rsidR="00FD7BFE" w:rsidRPr="004B1453">
        <w:rPr>
          <w:rFonts w:ascii="Times New Roman" w:hAnsi="Times New Roman"/>
          <w:bCs/>
          <w:sz w:val="24"/>
          <w:szCs w:val="24"/>
        </w:rPr>
        <w:t>motions for summary judgment, and briefing both liability and remed</w:t>
      </w:r>
      <w:r w:rsidR="00525131" w:rsidRPr="004B1453">
        <w:rPr>
          <w:rFonts w:ascii="Times New Roman" w:hAnsi="Times New Roman"/>
          <w:bCs/>
          <w:sz w:val="24"/>
          <w:szCs w:val="24"/>
        </w:rPr>
        <w:t>y</w:t>
      </w:r>
      <w:r w:rsidR="00FD7BFE" w:rsidRPr="004B1453">
        <w:rPr>
          <w:rFonts w:ascii="Times New Roman" w:hAnsi="Times New Roman"/>
          <w:bCs/>
          <w:sz w:val="24"/>
          <w:szCs w:val="24"/>
        </w:rPr>
        <w:t xml:space="preserve">. </w:t>
      </w:r>
    </w:p>
    <w:p w14:paraId="73B3A76F" w14:textId="77777777" w:rsidR="00C4763B" w:rsidRPr="00C4763B" w:rsidRDefault="00FD7BFE" w:rsidP="004B1453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1453">
        <w:rPr>
          <w:rFonts w:ascii="Times New Roman" w:hAnsi="Times New Roman"/>
          <w:bCs/>
          <w:sz w:val="24"/>
          <w:szCs w:val="24"/>
        </w:rPr>
        <w:t xml:space="preserve">Participated in </w:t>
      </w:r>
      <w:r w:rsidR="00E75C08" w:rsidRPr="004B1453">
        <w:rPr>
          <w:rFonts w:ascii="Times New Roman" w:hAnsi="Times New Roman"/>
          <w:bCs/>
          <w:sz w:val="24"/>
          <w:szCs w:val="24"/>
        </w:rPr>
        <w:t xml:space="preserve">oral </w:t>
      </w:r>
      <w:r w:rsidRPr="004B1453">
        <w:rPr>
          <w:rFonts w:ascii="Times New Roman" w:hAnsi="Times New Roman"/>
          <w:bCs/>
          <w:sz w:val="24"/>
          <w:szCs w:val="24"/>
        </w:rPr>
        <w:t xml:space="preserve">arguments before </w:t>
      </w:r>
      <w:r w:rsidR="00526C0C" w:rsidRPr="004B1453">
        <w:rPr>
          <w:rFonts w:ascii="Times New Roman" w:hAnsi="Times New Roman"/>
          <w:bCs/>
          <w:sz w:val="24"/>
          <w:szCs w:val="24"/>
        </w:rPr>
        <w:t>f</w:t>
      </w:r>
      <w:r w:rsidRPr="004B1453">
        <w:rPr>
          <w:rFonts w:ascii="Times New Roman" w:hAnsi="Times New Roman"/>
          <w:bCs/>
          <w:sz w:val="24"/>
          <w:szCs w:val="24"/>
        </w:rPr>
        <w:t>ederal courts.</w:t>
      </w:r>
      <w:r w:rsidR="00E75C08" w:rsidRPr="004B1453">
        <w:rPr>
          <w:rFonts w:ascii="Times New Roman" w:hAnsi="Times New Roman"/>
          <w:bCs/>
          <w:sz w:val="24"/>
          <w:szCs w:val="24"/>
        </w:rPr>
        <w:t xml:space="preserve"> </w:t>
      </w:r>
    </w:p>
    <w:p w14:paraId="0F58B346" w14:textId="77777777" w:rsidR="00C4763B" w:rsidRPr="00C4763B" w:rsidRDefault="00E75C08" w:rsidP="004B1453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1453">
        <w:rPr>
          <w:rFonts w:ascii="Times New Roman" w:hAnsi="Times New Roman"/>
          <w:bCs/>
          <w:sz w:val="24"/>
          <w:szCs w:val="24"/>
        </w:rPr>
        <w:t>Conduct</w:t>
      </w:r>
      <w:r w:rsidR="00C4763B">
        <w:rPr>
          <w:rFonts w:ascii="Times New Roman" w:hAnsi="Times New Roman"/>
          <w:bCs/>
          <w:sz w:val="24"/>
          <w:szCs w:val="24"/>
        </w:rPr>
        <w:t>ed</w:t>
      </w:r>
      <w:r w:rsidRPr="004B1453">
        <w:rPr>
          <w:rFonts w:ascii="Times New Roman" w:hAnsi="Times New Roman"/>
          <w:bCs/>
          <w:sz w:val="24"/>
          <w:szCs w:val="24"/>
        </w:rPr>
        <w:t xml:space="preserve"> settlement negotiations throughout litigation process.</w:t>
      </w:r>
      <w:r w:rsidR="004B1453">
        <w:rPr>
          <w:rFonts w:ascii="Times New Roman" w:hAnsi="Times New Roman"/>
          <w:bCs/>
          <w:sz w:val="24"/>
          <w:szCs w:val="24"/>
        </w:rPr>
        <w:t xml:space="preserve"> </w:t>
      </w:r>
    </w:p>
    <w:p w14:paraId="0D3645A3" w14:textId="6D69CFE0" w:rsidR="00E75C08" w:rsidRPr="004B1453" w:rsidRDefault="00E75C08" w:rsidP="004B1453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1453">
        <w:rPr>
          <w:rFonts w:ascii="Times New Roman" w:hAnsi="Times New Roman"/>
          <w:bCs/>
          <w:sz w:val="24"/>
          <w:szCs w:val="24"/>
        </w:rPr>
        <w:t>A</w:t>
      </w:r>
      <w:r w:rsidR="00FD7BFE" w:rsidRPr="004B1453">
        <w:rPr>
          <w:rFonts w:ascii="Times New Roman" w:hAnsi="Times New Roman"/>
          <w:bCs/>
          <w:sz w:val="24"/>
          <w:szCs w:val="24"/>
        </w:rPr>
        <w:t>dvise</w:t>
      </w:r>
      <w:r w:rsidR="00C4763B">
        <w:rPr>
          <w:rFonts w:ascii="Times New Roman" w:hAnsi="Times New Roman"/>
          <w:bCs/>
          <w:sz w:val="24"/>
          <w:szCs w:val="24"/>
        </w:rPr>
        <w:t>d</w:t>
      </w:r>
      <w:r w:rsidR="00FD7BFE" w:rsidRPr="004B1453">
        <w:rPr>
          <w:rFonts w:ascii="Times New Roman" w:hAnsi="Times New Roman"/>
          <w:bCs/>
          <w:sz w:val="24"/>
          <w:szCs w:val="24"/>
        </w:rPr>
        <w:t xml:space="preserve"> client </w:t>
      </w:r>
      <w:r w:rsidR="00526C0C" w:rsidRPr="004B1453">
        <w:rPr>
          <w:rFonts w:ascii="Times New Roman" w:hAnsi="Times New Roman"/>
          <w:bCs/>
          <w:sz w:val="24"/>
          <w:szCs w:val="24"/>
        </w:rPr>
        <w:t>f</w:t>
      </w:r>
      <w:r w:rsidRPr="004B1453">
        <w:rPr>
          <w:rFonts w:ascii="Times New Roman" w:hAnsi="Times New Roman"/>
          <w:bCs/>
          <w:sz w:val="24"/>
          <w:szCs w:val="24"/>
        </w:rPr>
        <w:t>e</w:t>
      </w:r>
      <w:r w:rsidR="00FD7BFE" w:rsidRPr="004B1453">
        <w:rPr>
          <w:rFonts w:ascii="Times New Roman" w:hAnsi="Times New Roman"/>
          <w:bCs/>
          <w:sz w:val="24"/>
          <w:szCs w:val="24"/>
        </w:rPr>
        <w:t xml:space="preserve">deral agencies during </w:t>
      </w:r>
      <w:r w:rsidR="000C7E88" w:rsidRPr="004B1453">
        <w:rPr>
          <w:rFonts w:ascii="Times New Roman" w:hAnsi="Times New Roman"/>
          <w:bCs/>
          <w:sz w:val="24"/>
          <w:szCs w:val="24"/>
        </w:rPr>
        <w:t xml:space="preserve">litigation and </w:t>
      </w:r>
      <w:r w:rsidR="00FD7BFE" w:rsidRPr="004B1453">
        <w:rPr>
          <w:rFonts w:ascii="Times New Roman" w:hAnsi="Times New Roman"/>
          <w:bCs/>
          <w:sz w:val="24"/>
          <w:szCs w:val="24"/>
        </w:rPr>
        <w:t>development of new regulations</w:t>
      </w:r>
      <w:r w:rsidRPr="004B1453">
        <w:rPr>
          <w:rFonts w:ascii="Times New Roman" w:hAnsi="Times New Roman"/>
          <w:bCs/>
          <w:sz w:val="24"/>
          <w:szCs w:val="24"/>
        </w:rPr>
        <w:t>. Provide counsel to senior agency officials, including political appointees</w:t>
      </w:r>
      <w:r w:rsidR="00834AAF" w:rsidRPr="004B1453">
        <w:rPr>
          <w:rFonts w:ascii="Times New Roman" w:hAnsi="Times New Roman"/>
          <w:bCs/>
          <w:sz w:val="24"/>
          <w:szCs w:val="24"/>
        </w:rPr>
        <w:t>.</w:t>
      </w:r>
    </w:p>
    <w:p w14:paraId="761A2A0C" w14:textId="1B808144" w:rsidR="00F96C4A" w:rsidRPr="00E75C08" w:rsidRDefault="00FD7BFE" w:rsidP="007E691A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C08">
        <w:rPr>
          <w:rFonts w:ascii="Times New Roman" w:hAnsi="Times New Roman"/>
          <w:bCs/>
          <w:sz w:val="24"/>
          <w:szCs w:val="24"/>
        </w:rPr>
        <w:lastRenderedPageBreak/>
        <w:t>Several c</w:t>
      </w:r>
      <w:r w:rsidR="00772826" w:rsidRPr="00E75C08">
        <w:rPr>
          <w:rFonts w:ascii="Times New Roman" w:hAnsi="Times New Roman"/>
          <w:bCs/>
          <w:sz w:val="24"/>
          <w:szCs w:val="24"/>
        </w:rPr>
        <w:t xml:space="preserve">ases </w:t>
      </w:r>
      <w:r w:rsidR="00F96C4A" w:rsidRPr="00E75C08">
        <w:rPr>
          <w:rFonts w:ascii="Times New Roman" w:hAnsi="Times New Roman"/>
          <w:bCs/>
          <w:sz w:val="24"/>
          <w:szCs w:val="24"/>
        </w:rPr>
        <w:t>involve</w:t>
      </w:r>
      <w:r w:rsidR="007E691A">
        <w:rPr>
          <w:rFonts w:ascii="Times New Roman" w:hAnsi="Times New Roman"/>
          <w:bCs/>
          <w:sz w:val="24"/>
          <w:szCs w:val="24"/>
        </w:rPr>
        <w:t>d</w:t>
      </w:r>
      <w:r w:rsidR="00F96C4A" w:rsidRPr="00E75C08">
        <w:rPr>
          <w:rFonts w:ascii="Times New Roman" w:hAnsi="Times New Roman"/>
          <w:bCs/>
          <w:sz w:val="24"/>
          <w:szCs w:val="24"/>
        </w:rPr>
        <w:t xml:space="preserve"> matters of national importance</w:t>
      </w:r>
      <w:r w:rsidR="00772826" w:rsidRPr="00E75C08">
        <w:rPr>
          <w:rFonts w:ascii="Times New Roman" w:hAnsi="Times New Roman"/>
          <w:bCs/>
          <w:sz w:val="24"/>
          <w:szCs w:val="24"/>
        </w:rPr>
        <w:t>, such as</w:t>
      </w:r>
      <w:r w:rsidR="00F96C4A" w:rsidRPr="00E75C08">
        <w:rPr>
          <w:rFonts w:ascii="Times New Roman" w:hAnsi="Times New Roman"/>
          <w:bCs/>
          <w:sz w:val="24"/>
          <w:szCs w:val="24"/>
        </w:rPr>
        <w:t xml:space="preserve"> </w:t>
      </w:r>
      <w:r w:rsidR="00772826" w:rsidRPr="00E75C08">
        <w:rPr>
          <w:rFonts w:ascii="Times New Roman" w:hAnsi="Times New Roman"/>
          <w:bCs/>
          <w:sz w:val="24"/>
          <w:szCs w:val="24"/>
        </w:rPr>
        <w:t>the operation</w:t>
      </w:r>
      <w:r w:rsidR="00484360">
        <w:rPr>
          <w:rFonts w:ascii="Times New Roman" w:hAnsi="Times New Roman"/>
          <w:bCs/>
          <w:sz w:val="24"/>
          <w:szCs w:val="24"/>
        </w:rPr>
        <w:t xml:space="preserve"> and maintenance</w:t>
      </w:r>
      <w:r w:rsidR="00772826" w:rsidRPr="00E75C08">
        <w:rPr>
          <w:rFonts w:ascii="Times New Roman" w:hAnsi="Times New Roman"/>
          <w:bCs/>
          <w:sz w:val="24"/>
          <w:szCs w:val="24"/>
        </w:rPr>
        <w:t xml:space="preserve"> of the Willamette Valley Project (a system of 13 dams and reservoirs) in Oregon</w:t>
      </w:r>
      <w:r w:rsidRPr="00E75C08">
        <w:rPr>
          <w:rFonts w:ascii="Times New Roman" w:hAnsi="Times New Roman"/>
          <w:bCs/>
          <w:sz w:val="24"/>
          <w:szCs w:val="24"/>
        </w:rPr>
        <w:t xml:space="preserve"> and continued operations of both Pacific and Atlantic marine fisheries</w:t>
      </w:r>
      <w:r w:rsidR="00E75C08" w:rsidRPr="00E75C08">
        <w:rPr>
          <w:rFonts w:ascii="Times New Roman" w:hAnsi="Times New Roman"/>
          <w:bCs/>
          <w:sz w:val="24"/>
          <w:szCs w:val="24"/>
        </w:rPr>
        <w:t>.</w:t>
      </w:r>
    </w:p>
    <w:p w14:paraId="64CBF229" w14:textId="77777777" w:rsidR="008D3F79" w:rsidRPr="007E691A" w:rsidRDefault="00491078" w:rsidP="007E691A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64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967E4">
        <w:rPr>
          <w:rFonts w:ascii="Times New Roman" w:hAnsi="Times New Roman"/>
          <w:bCs/>
          <w:sz w:val="24"/>
          <w:szCs w:val="24"/>
        </w:rPr>
        <w:t xml:space="preserve">Chosen by </w:t>
      </w:r>
      <w:r w:rsidR="00FD7BFE" w:rsidRPr="002967E4">
        <w:rPr>
          <w:rFonts w:ascii="Times New Roman" w:hAnsi="Times New Roman"/>
          <w:bCs/>
          <w:sz w:val="24"/>
          <w:szCs w:val="24"/>
        </w:rPr>
        <w:t xml:space="preserve">Department of Justice </w:t>
      </w:r>
      <w:r w:rsidRPr="002967E4">
        <w:rPr>
          <w:rFonts w:ascii="Times New Roman" w:hAnsi="Times New Roman"/>
          <w:bCs/>
          <w:sz w:val="24"/>
          <w:szCs w:val="24"/>
        </w:rPr>
        <w:t>management to participate in the hiring process for Honor Graduate Attorneys and lateral attorney</w:t>
      </w:r>
      <w:r w:rsidR="00834AAF">
        <w:rPr>
          <w:rFonts w:ascii="Times New Roman" w:hAnsi="Times New Roman"/>
          <w:bCs/>
          <w:sz w:val="24"/>
          <w:szCs w:val="24"/>
        </w:rPr>
        <w:t>s</w:t>
      </w:r>
      <w:r w:rsidR="008A2110">
        <w:rPr>
          <w:rFonts w:ascii="Times New Roman" w:hAnsi="Times New Roman"/>
          <w:bCs/>
          <w:sz w:val="24"/>
          <w:szCs w:val="24"/>
        </w:rPr>
        <w:t>.</w:t>
      </w:r>
      <w:r w:rsidR="00834AAF">
        <w:rPr>
          <w:rFonts w:ascii="Times New Roman" w:hAnsi="Times New Roman"/>
          <w:bCs/>
          <w:sz w:val="24"/>
          <w:szCs w:val="24"/>
        </w:rPr>
        <w:t xml:space="preserve"> </w:t>
      </w:r>
      <w:r w:rsidR="00FD7BFE" w:rsidRPr="008A2110">
        <w:rPr>
          <w:rFonts w:ascii="Times New Roman" w:hAnsi="Times New Roman"/>
          <w:bCs/>
          <w:sz w:val="24"/>
          <w:szCs w:val="24"/>
        </w:rPr>
        <w:t>M</w:t>
      </w:r>
      <w:r w:rsidRPr="008A2110">
        <w:rPr>
          <w:rFonts w:ascii="Times New Roman" w:hAnsi="Times New Roman"/>
          <w:bCs/>
          <w:sz w:val="24"/>
          <w:szCs w:val="24"/>
        </w:rPr>
        <w:t>entor</w:t>
      </w:r>
      <w:r w:rsidR="00FD7BFE" w:rsidRPr="008A2110">
        <w:rPr>
          <w:rFonts w:ascii="Times New Roman" w:hAnsi="Times New Roman"/>
          <w:bCs/>
          <w:sz w:val="24"/>
          <w:szCs w:val="24"/>
        </w:rPr>
        <w:t>ed</w:t>
      </w:r>
      <w:r w:rsidR="00834AAF">
        <w:rPr>
          <w:rFonts w:ascii="Times New Roman" w:hAnsi="Times New Roman"/>
          <w:bCs/>
          <w:sz w:val="24"/>
          <w:szCs w:val="24"/>
        </w:rPr>
        <w:t xml:space="preserve"> new </w:t>
      </w:r>
      <w:r w:rsidRPr="008A2110">
        <w:rPr>
          <w:rFonts w:ascii="Times New Roman" w:hAnsi="Times New Roman"/>
          <w:bCs/>
          <w:sz w:val="24"/>
          <w:szCs w:val="24"/>
        </w:rPr>
        <w:t>attorneys hired through the Department of Justice’s Honor Graduate Attorney Program</w:t>
      </w:r>
      <w:r w:rsidR="00E75C08">
        <w:rPr>
          <w:rFonts w:ascii="Times New Roman" w:hAnsi="Times New Roman"/>
          <w:bCs/>
          <w:sz w:val="24"/>
          <w:szCs w:val="24"/>
        </w:rPr>
        <w:t>.</w:t>
      </w:r>
    </w:p>
    <w:p w14:paraId="7F160CFF" w14:textId="77777777" w:rsidR="008A2110" w:rsidRPr="006E70F1" w:rsidRDefault="00491078" w:rsidP="007E691A">
      <w:pPr>
        <w:spacing w:after="12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E70F1">
        <w:rPr>
          <w:rFonts w:ascii="Times New Roman" w:hAnsi="Times New Roman"/>
          <w:b/>
          <w:sz w:val="24"/>
          <w:szCs w:val="24"/>
        </w:rPr>
        <w:t>Education</w:t>
      </w:r>
    </w:p>
    <w:p w14:paraId="0BFD8761" w14:textId="77777777" w:rsidR="00491078" w:rsidRPr="008A2110" w:rsidRDefault="00491078" w:rsidP="007E691A">
      <w:pPr>
        <w:tabs>
          <w:tab w:val="right" w:pos="10800"/>
        </w:tabs>
        <w:spacing w:after="12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University of Tennessee College of Law</w:t>
      </w:r>
      <w:r w:rsidR="008A2110">
        <w:rPr>
          <w:rFonts w:ascii="Times New Roman" w:hAnsi="Times New Roman" w:cs="Times New Roman"/>
          <w:b/>
          <w:sz w:val="24"/>
          <w:szCs w:val="24"/>
        </w:rPr>
        <w:tab/>
      </w:r>
      <w:r w:rsidR="008A2110" w:rsidRPr="008A2110">
        <w:rPr>
          <w:rFonts w:ascii="Times New Roman" w:hAnsi="Times New Roman" w:cs="Times New Roman"/>
          <w:bCs/>
          <w:sz w:val="24"/>
          <w:szCs w:val="24"/>
        </w:rPr>
        <w:t>May 2015</w:t>
      </w:r>
    </w:p>
    <w:p w14:paraId="183F47B7" w14:textId="77777777" w:rsidR="00491078" w:rsidRPr="008A2110" w:rsidRDefault="00491078" w:rsidP="007E691A">
      <w:pPr>
        <w:pStyle w:val="ListParagraph"/>
        <w:numPr>
          <w:ilvl w:val="0"/>
          <w:numId w:val="1"/>
        </w:numPr>
        <w:spacing w:after="120" w:line="264" w:lineRule="auto"/>
        <w:ind w:left="1080"/>
        <w:rPr>
          <w:rFonts w:ascii="Times New Roman" w:hAnsi="Times New Roman"/>
          <w:bCs/>
          <w:sz w:val="24"/>
          <w:szCs w:val="24"/>
        </w:rPr>
      </w:pPr>
      <w:r w:rsidRPr="008A2110">
        <w:rPr>
          <w:rFonts w:ascii="Times New Roman" w:hAnsi="Times New Roman"/>
          <w:bCs/>
          <w:sz w:val="24"/>
          <w:szCs w:val="24"/>
        </w:rPr>
        <w:t xml:space="preserve">Graduated in the top 5% - </w:t>
      </w:r>
      <w:r w:rsidRPr="008A2110">
        <w:rPr>
          <w:rFonts w:ascii="Times New Roman" w:hAnsi="Times New Roman"/>
          <w:bCs/>
          <w:i/>
          <w:iCs/>
          <w:sz w:val="24"/>
          <w:szCs w:val="24"/>
        </w:rPr>
        <w:t>summa cum laude</w:t>
      </w:r>
      <w:r w:rsidR="008D3F7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4EAF0927" w14:textId="77777777" w:rsidR="00491078" w:rsidRPr="002967E4" w:rsidRDefault="00491078" w:rsidP="007E691A">
      <w:pPr>
        <w:pStyle w:val="ListParagraph"/>
        <w:numPr>
          <w:ilvl w:val="0"/>
          <w:numId w:val="1"/>
        </w:numPr>
        <w:spacing w:after="120" w:line="264" w:lineRule="auto"/>
        <w:ind w:left="1080"/>
        <w:rPr>
          <w:rFonts w:ascii="Times New Roman" w:hAnsi="Times New Roman"/>
          <w:sz w:val="24"/>
          <w:szCs w:val="24"/>
        </w:rPr>
      </w:pPr>
      <w:r w:rsidRPr="002967E4">
        <w:rPr>
          <w:rFonts w:ascii="Times New Roman" w:hAnsi="Times New Roman"/>
          <w:sz w:val="24"/>
          <w:szCs w:val="24"/>
        </w:rPr>
        <w:t>Executive Editor</w:t>
      </w:r>
      <w:r w:rsidR="00CB06EE" w:rsidRPr="002967E4">
        <w:rPr>
          <w:rFonts w:ascii="Times New Roman" w:hAnsi="Times New Roman"/>
          <w:sz w:val="24"/>
          <w:szCs w:val="24"/>
        </w:rPr>
        <w:t xml:space="preserve"> of the</w:t>
      </w:r>
      <w:r w:rsidRPr="002967E4">
        <w:rPr>
          <w:rFonts w:ascii="Times New Roman" w:hAnsi="Times New Roman"/>
          <w:sz w:val="24"/>
          <w:szCs w:val="24"/>
        </w:rPr>
        <w:t xml:space="preserve"> Tennessee Law Review</w:t>
      </w:r>
    </w:p>
    <w:p w14:paraId="2BFEF68F" w14:textId="77777777" w:rsidR="00A65F99" w:rsidRPr="002967E4" w:rsidRDefault="00A65F99" w:rsidP="007E691A">
      <w:pPr>
        <w:pStyle w:val="ListParagraph"/>
        <w:numPr>
          <w:ilvl w:val="0"/>
          <w:numId w:val="1"/>
        </w:numPr>
        <w:spacing w:after="12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967E4">
        <w:rPr>
          <w:rFonts w:ascii="Times New Roman" w:hAnsi="Times New Roman"/>
          <w:sz w:val="24"/>
          <w:szCs w:val="24"/>
        </w:rPr>
        <w:t>Recipient of</w:t>
      </w:r>
      <w:r w:rsidR="00586BE3" w:rsidRPr="002967E4">
        <w:rPr>
          <w:rFonts w:ascii="Times New Roman" w:hAnsi="Times New Roman"/>
          <w:sz w:val="24"/>
          <w:szCs w:val="24"/>
        </w:rPr>
        <w:t xml:space="preserve"> both</w:t>
      </w:r>
      <w:r w:rsidRPr="002967E4">
        <w:rPr>
          <w:rFonts w:ascii="Times New Roman" w:hAnsi="Times New Roman"/>
          <w:sz w:val="24"/>
          <w:szCs w:val="24"/>
        </w:rPr>
        <w:t xml:space="preserve"> the Tennessee Law Review Silver Pen Award </w:t>
      </w:r>
      <w:r w:rsidR="00586BE3" w:rsidRPr="002967E4">
        <w:rPr>
          <w:rFonts w:ascii="Times New Roman" w:hAnsi="Times New Roman"/>
          <w:sz w:val="24"/>
          <w:szCs w:val="24"/>
        </w:rPr>
        <w:t xml:space="preserve">and Judge Harry W. Laughlin, Jr. Award </w:t>
      </w:r>
      <w:r w:rsidRPr="002967E4">
        <w:rPr>
          <w:rFonts w:ascii="Times New Roman" w:hAnsi="Times New Roman"/>
          <w:sz w:val="24"/>
          <w:szCs w:val="24"/>
        </w:rPr>
        <w:t>for an exemplary case note</w:t>
      </w:r>
    </w:p>
    <w:p w14:paraId="6F459A2C" w14:textId="77777777" w:rsidR="00CB06EE" w:rsidRPr="002967E4" w:rsidRDefault="00CB06EE" w:rsidP="007E691A">
      <w:pPr>
        <w:pStyle w:val="ListParagraph"/>
        <w:numPr>
          <w:ilvl w:val="0"/>
          <w:numId w:val="1"/>
        </w:numPr>
        <w:spacing w:after="12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967E4">
        <w:rPr>
          <w:rFonts w:ascii="Times New Roman" w:hAnsi="Times New Roman"/>
          <w:sz w:val="24"/>
          <w:szCs w:val="24"/>
        </w:rPr>
        <w:t>Member of the Environmental Law National Moot Court team</w:t>
      </w:r>
      <w:r w:rsidR="0050752E" w:rsidRPr="002967E4">
        <w:rPr>
          <w:rFonts w:ascii="Times New Roman" w:hAnsi="Times New Roman"/>
          <w:sz w:val="24"/>
          <w:szCs w:val="24"/>
        </w:rPr>
        <w:t xml:space="preserve"> representing the University of Tennessee</w:t>
      </w:r>
    </w:p>
    <w:p w14:paraId="5C387C19" w14:textId="77777777" w:rsidR="00491078" w:rsidRPr="002967E4" w:rsidRDefault="00491078" w:rsidP="007E691A">
      <w:pPr>
        <w:tabs>
          <w:tab w:val="right" w:pos="10800"/>
        </w:tabs>
        <w:spacing w:after="12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2967E4">
        <w:rPr>
          <w:rFonts w:ascii="Times New Roman" w:hAnsi="Times New Roman" w:cs="Times New Roman"/>
          <w:b/>
          <w:sz w:val="24"/>
          <w:szCs w:val="24"/>
        </w:rPr>
        <w:t>University of the Southwest</w:t>
      </w:r>
      <w:r w:rsidR="008A2110">
        <w:rPr>
          <w:rFonts w:ascii="Times New Roman" w:hAnsi="Times New Roman" w:cs="Times New Roman"/>
          <w:b/>
          <w:sz w:val="24"/>
          <w:szCs w:val="24"/>
        </w:rPr>
        <w:tab/>
      </w:r>
      <w:r w:rsidR="008A2110" w:rsidRPr="008A2110">
        <w:rPr>
          <w:rFonts w:ascii="Times New Roman" w:hAnsi="Times New Roman" w:cs="Times New Roman"/>
          <w:bCs/>
          <w:sz w:val="24"/>
          <w:szCs w:val="24"/>
        </w:rPr>
        <w:t>May 2011</w:t>
      </w:r>
    </w:p>
    <w:p w14:paraId="7DFDBD7E" w14:textId="77777777" w:rsidR="00491078" w:rsidRPr="002967E4" w:rsidRDefault="00491078" w:rsidP="007E691A">
      <w:pPr>
        <w:pStyle w:val="ListParagraph"/>
        <w:numPr>
          <w:ilvl w:val="0"/>
          <w:numId w:val="1"/>
        </w:numPr>
        <w:spacing w:after="0" w:line="264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  <w:r w:rsidRPr="002967E4">
        <w:rPr>
          <w:rFonts w:ascii="Times New Roman" w:hAnsi="Times New Roman"/>
          <w:bCs/>
          <w:sz w:val="24"/>
          <w:szCs w:val="24"/>
        </w:rPr>
        <w:t>B.A.S. in English and History</w:t>
      </w:r>
      <w:r w:rsidRPr="002967E4">
        <w:rPr>
          <w:rFonts w:ascii="Times New Roman" w:hAnsi="Times New Roman"/>
          <w:bCs/>
          <w:sz w:val="24"/>
          <w:szCs w:val="24"/>
        </w:rPr>
        <w:tab/>
      </w:r>
    </w:p>
    <w:p w14:paraId="0A5B98FE" w14:textId="77777777" w:rsidR="00F96C4A" w:rsidRPr="008A2110" w:rsidRDefault="00A65F99" w:rsidP="007E691A">
      <w:pPr>
        <w:pStyle w:val="ListParagraph"/>
        <w:numPr>
          <w:ilvl w:val="0"/>
          <w:numId w:val="1"/>
        </w:numPr>
        <w:spacing w:after="0" w:line="264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  <w:r w:rsidRPr="002967E4">
        <w:rPr>
          <w:rFonts w:ascii="Times New Roman" w:hAnsi="Times New Roman"/>
          <w:bCs/>
          <w:sz w:val="24"/>
          <w:szCs w:val="24"/>
        </w:rPr>
        <w:t>Graduated</w:t>
      </w:r>
      <w:r w:rsidR="00491078" w:rsidRPr="002967E4">
        <w:rPr>
          <w:rFonts w:ascii="Times New Roman" w:hAnsi="Times New Roman"/>
          <w:bCs/>
          <w:sz w:val="24"/>
          <w:szCs w:val="24"/>
        </w:rPr>
        <w:t xml:space="preserve"> </w:t>
      </w:r>
      <w:r w:rsidR="00491078" w:rsidRPr="002967E4">
        <w:rPr>
          <w:rFonts w:ascii="Times New Roman" w:hAnsi="Times New Roman"/>
          <w:bCs/>
          <w:i/>
          <w:iCs/>
          <w:sz w:val="24"/>
          <w:szCs w:val="24"/>
        </w:rPr>
        <w:t>magna cum laude</w:t>
      </w:r>
    </w:p>
    <w:p w14:paraId="7708F274" w14:textId="77777777" w:rsidR="00BE4F47" w:rsidRDefault="00BE4F47" w:rsidP="007E691A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</w:p>
    <w:p w14:paraId="2D4A5676" w14:textId="77777777" w:rsidR="0050752E" w:rsidRPr="002967E4" w:rsidRDefault="00F96C4A" w:rsidP="007E691A">
      <w:pPr>
        <w:spacing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967E4">
        <w:rPr>
          <w:rFonts w:ascii="Times New Roman" w:hAnsi="Times New Roman"/>
          <w:b/>
          <w:sz w:val="24"/>
          <w:szCs w:val="24"/>
        </w:rPr>
        <w:t>Publication</w:t>
      </w:r>
      <w:r w:rsidR="008D3F79">
        <w:rPr>
          <w:rFonts w:ascii="Times New Roman" w:hAnsi="Times New Roman"/>
          <w:b/>
          <w:sz w:val="24"/>
          <w:szCs w:val="24"/>
        </w:rPr>
        <w:t>s</w:t>
      </w:r>
    </w:p>
    <w:p w14:paraId="17E3AC56" w14:textId="77777777" w:rsidR="00B3463F" w:rsidRDefault="00F96C4A" w:rsidP="007E691A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8F9FA"/>
        </w:rPr>
      </w:pPr>
      <w:r w:rsidRPr="002967E4">
        <w:rPr>
          <w:rFonts w:ascii="Times New Roman" w:hAnsi="Times New Roman"/>
          <w:i/>
          <w:sz w:val="24"/>
          <w:szCs w:val="24"/>
        </w:rPr>
        <w:t>Constitutional Law – The First Amendment Retaliation Doctrine – A Public Employee’s Rights Regarding Perceived Political Association Retaliation:</w:t>
      </w:r>
      <w:r w:rsidRPr="002967E4">
        <w:rPr>
          <w:rFonts w:ascii="Times New Roman" w:hAnsi="Times New Roman"/>
          <w:sz w:val="24"/>
          <w:szCs w:val="24"/>
        </w:rPr>
        <w:t xml:space="preserve"> Dye v. Office of the Racing Comm’n, 81.2 </w:t>
      </w:r>
      <w:r w:rsidRPr="002967E4">
        <w:rPr>
          <w:rFonts w:ascii="Times New Roman" w:hAnsi="Times New Roman"/>
          <w:smallCaps/>
          <w:sz w:val="24"/>
          <w:szCs w:val="24"/>
        </w:rPr>
        <w:t>Tenn. L. Rev. (2014).</w:t>
      </w:r>
      <w:r w:rsidR="00E75C08">
        <w:rPr>
          <w:rFonts w:ascii="Times New Roman" w:hAnsi="Times New Roman"/>
          <w:smallCaps/>
          <w:sz w:val="24"/>
          <w:szCs w:val="24"/>
        </w:rPr>
        <w:t xml:space="preserve"> </w:t>
      </w:r>
      <w:r w:rsidR="00131B53" w:rsidRPr="002967E4">
        <w:rPr>
          <w:rFonts w:ascii="Times New Roman" w:hAnsi="Times New Roman"/>
          <w:sz w:val="24"/>
          <w:szCs w:val="24"/>
        </w:rPr>
        <w:t>Cited</w:t>
      </w:r>
      <w:r w:rsidR="002967E4" w:rsidRPr="002967E4">
        <w:rPr>
          <w:rFonts w:ascii="Times New Roman" w:hAnsi="Times New Roman"/>
          <w:sz w:val="24"/>
          <w:szCs w:val="24"/>
        </w:rPr>
        <w:t xml:space="preserve"> in the petition for a writ of certiorari</w:t>
      </w:r>
      <w:r w:rsidR="008D3F79">
        <w:rPr>
          <w:rFonts w:ascii="Times New Roman" w:hAnsi="Times New Roman"/>
          <w:sz w:val="24"/>
          <w:szCs w:val="24"/>
        </w:rPr>
        <w:t xml:space="preserve"> in </w:t>
      </w:r>
      <w:r w:rsidR="002967E4" w:rsidRPr="002967E4">
        <w:rPr>
          <w:rFonts w:ascii="Times New Roman" w:hAnsi="Times New Roman"/>
          <w:i/>
          <w:iCs/>
          <w:sz w:val="24"/>
          <w:szCs w:val="24"/>
        </w:rPr>
        <w:t>Heffernan v. City of Patterson</w:t>
      </w:r>
      <w:r w:rsidR="002967E4" w:rsidRPr="002967E4">
        <w:rPr>
          <w:rFonts w:ascii="Times New Roman" w:hAnsi="Times New Roman"/>
          <w:sz w:val="24"/>
          <w:szCs w:val="24"/>
        </w:rPr>
        <w:t xml:space="preserve">, </w:t>
      </w:r>
      <w:r w:rsidR="002967E4" w:rsidRPr="002967E4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136 S. Ct. 1412 (2016)</w:t>
      </w:r>
      <w:r w:rsidR="002967E4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 xml:space="preserve">. </w:t>
      </w:r>
    </w:p>
    <w:p w14:paraId="14570CF4" w14:textId="77777777" w:rsidR="00C92B4F" w:rsidRDefault="00C92B4F" w:rsidP="007E691A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8F9FA"/>
        </w:rPr>
      </w:pPr>
    </w:p>
    <w:p w14:paraId="6A989879" w14:textId="77777777" w:rsidR="00486499" w:rsidRDefault="00486499" w:rsidP="007E691A">
      <w:pPr>
        <w:pStyle w:val="ListParagraph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1E3DC2" w14:textId="77777777" w:rsidR="00486499" w:rsidRDefault="00486499" w:rsidP="007E691A">
      <w:pPr>
        <w:pStyle w:val="ListParagraph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2343995" w14:textId="77777777" w:rsidR="00486499" w:rsidRDefault="00486499" w:rsidP="007E691A">
      <w:pPr>
        <w:pStyle w:val="ListParagraph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3891D794" w14:textId="77777777" w:rsidR="00486499" w:rsidRPr="00486499" w:rsidRDefault="00486499" w:rsidP="007E691A">
      <w:pPr>
        <w:pStyle w:val="ListParagraph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sectPr w:rsidR="00486499" w:rsidRPr="00486499" w:rsidSect="008A2110">
      <w:headerReference w:type="default" r:id="rId7"/>
      <w:footerReference w:type="default" r:id="rId8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FF11" w14:textId="77777777" w:rsidR="0063446A" w:rsidRDefault="0063446A">
      <w:pPr>
        <w:spacing w:after="0" w:line="240" w:lineRule="auto"/>
      </w:pPr>
      <w:r>
        <w:separator/>
      </w:r>
    </w:p>
  </w:endnote>
  <w:endnote w:type="continuationSeparator" w:id="0">
    <w:p w14:paraId="04275C28" w14:textId="77777777" w:rsidR="0063446A" w:rsidRDefault="0063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954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C251D9" w14:textId="77777777" w:rsidR="00457938" w:rsidRPr="007E691A" w:rsidRDefault="00000000" w:rsidP="007E691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3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3D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3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3D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1894" w14:textId="77777777" w:rsidR="0063446A" w:rsidRDefault="0063446A">
      <w:pPr>
        <w:spacing w:after="0" w:line="240" w:lineRule="auto"/>
      </w:pPr>
      <w:r>
        <w:separator/>
      </w:r>
    </w:p>
  </w:footnote>
  <w:footnote w:type="continuationSeparator" w:id="0">
    <w:p w14:paraId="3E5B67CC" w14:textId="77777777" w:rsidR="0063446A" w:rsidRDefault="0063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0F8" w14:textId="77777777" w:rsidR="00457938" w:rsidRDefault="00457938">
    <w:pPr>
      <w:pStyle w:val="Header"/>
      <w:jc w:val="center"/>
    </w:pPr>
  </w:p>
  <w:p w14:paraId="33984CA0" w14:textId="77777777" w:rsidR="00457938" w:rsidRDefault="0045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0E1"/>
    <w:multiLevelType w:val="hybridMultilevel"/>
    <w:tmpl w:val="E46CB4A0"/>
    <w:lvl w:ilvl="0" w:tplc="DF844F4E">
      <w:start w:val="31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6F4"/>
    <w:multiLevelType w:val="hybridMultilevel"/>
    <w:tmpl w:val="1A80EFB6"/>
    <w:lvl w:ilvl="0" w:tplc="84DED4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3314">
    <w:abstractNumId w:val="0"/>
  </w:num>
  <w:num w:numId="2" w16cid:durableId="18324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78"/>
    <w:rsid w:val="000746A7"/>
    <w:rsid w:val="000C7E88"/>
    <w:rsid w:val="000F3E74"/>
    <w:rsid w:val="00131B53"/>
    <w:rsid w:val="001328C2"/>
    <w:rsid w:val="00134B20"/>
    <w:rsid w:val="001D73E0"/>
    <w:rsid w:val="001F799D"/>
    <w:rsid w:val="002257C3"/>
    <w:rsid w:val="00257C8A"/>
    <w:rsid w:val="002967E4"/>
    <w:rsid w:val="002E013C"/>
    <w:rsid w:val="00303EC3"/>
    <w:rsid w:val="00325034"/>
    <w:rsid w:val="003A77F7"/>
    <w:rsid w:val="003C22E2"/>
    <w:rsid w:val="003D49B0"/>
    <w:rsid w:val="003E6308"/>
    <w:rsid w:val="00457938"/>
    <w:rsid w:val="00484360"/>
    <w:rsid w:val="00486499"/>
    <w:rsid w:val="00491078"/>
    <w:rsid w:val="004B1453"/>
    <w:rsid w:val="004C7F74"/>
    <w:rsid w:val="00500B00"/>
    <w:rsid w:val="0050752E"/>
    <w:rsid w:val="00525131"/>
    <w:rsid w:val="00525DD8"/>
    <w:rsid w:val="00526C0C"/>
    <w:rsid w:val="00554838"/>
    <w:rsid w:val="00560B0E"/>
    <w:rsid w:val="00586BE3"/>
    <w:rsid w:val="00595838"/>
    <w:rsid w:val="0063446A"/>
    <w:rsid w:val="00640E79"/>
    <w:rsid w:val="006E70F1"/>
    <w:rsid w:val="007137EA"/>
    <w:rsid w:val="00764EE7"/>
    <w:rsid w:val="00772826"/>
    <w:rsid w:val="007E691A"/>
    <w:rsid w:val="007F1335"/>
    <w:rsid w:val="00814A7D"/>
    <w:rsid w:val="00834AAF"/>
    <w:rsid w:val="00890210"/>
    <w:rsid w:val="008A2110"/>
    <w:rsid w:val="008D3F79"/>
    <w:rsid w:val="008E7168"/>
    <w:rsid w:val="00945085"/>
    <w:rsid w:val="009550D8"/>
    <w:rsid w:val="009838F8"/>
    <w:rsid w:val="009A788D"/>
    <w:rsid w:val="009D7F03"/>
    <w:rsid w:val="00A65F99"/>
    <w:rsid w:val="00AE2090"/>
    <w:rsid w:val="00B3463F"/>
    <w:rsid w:val="00B52C0F"/>
    <w:rsid w:val="00B55AE5"/>
    <w:rsid w:val="00B57CD0"/>
    <w:rsid w:val="00BE4F47"/>
    <w:rsid w:val="00C21F09"/>
    <w:rsid w:val="00C4763B"/>
    <w:rsid w:val="00C57BB9"/>
    <w:rsid w:val="00C75C60"/>
    <w:rsid w:val="00C92B4F"/>
    <w:rsid w:val="00CB06EE"/>
    <w:rsid w:val="00CC56AC"/>
    <w:rsid w:val="00DC7114"/>
    <w:rsid w:val="00E75C08"/>
    <w:rsid w:val="00EA699C"/>
    <w:rsid w:val="00EF4E1A"/>
    <w:rsid w:val="00F66932"/>
    <w:rsid w:val="00F96C4A"/>
    <w:rsid w:val="00FA03A5"/>
    <w:rsid w:val="00FD37A0"/>
    <w:rsid w:val="00FD7BFE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3CB4"/>
  <w15:chartTrackingRefBased/>
  <w15:docId w15:val="{CB675575-0C0F-4B48-BD0D-C2F2E206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7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7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7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78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E7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Poirier</dc:creator>
  <cp:keywords/>
  <dc:description/>
  <cp:lastModifiedBy>Poirier, Kaitlyn A</cp:lastModifiedBy>
  <cp:revision>5</cp:revision>
  <cp:lastPrinted>2023-06-15T15:46:00Z</cp:lastPrinted>
  <dcterms:created xsi:type="dcterms:W3CDTF">2024-08-28T16:43:00Z</dcterms:created>
  <dcterms:modified xsi:type="dcterms:W3CDTF">2024-08-28T16:51:00Z</dcterms:modified>
</cp:coreProperties>
</file>